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150"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284" w:type="dxa"/>
        </w:tblCellMar>
        <w:tblLook w:val="04A0" w:firstRow="1" w:lastRow="0" w:firstColumn="1" w:lastColumn="0" w:noHBand="0" w:noVBand="1"/>
      </w:tblPr>
      <w:tblGrid>
        <w:gridCol w:w="3680"/>
        <w:gridCol w:w="2527"/>
        <w:gridCol w:w="2943"/>
      </w:tblGrid>
      <w:tr w:rsidR="009F7DF3" w:rsidTr="00E50818">
        <w:tc>
          <w:tcPr>
            <w:tcW w:w="3680" w:type="dxa"/>
            <w:vAlign w:val="center"/>
          </w:tcPr>
          <w:p w:rsidR="009F7DF3" w:rsidRPr="00DE21F3" w:rsidRDefault="005F3C17" w:rsidP="00257089">
            <w:pPr>
              <w:jc w:val="center"/>
              <w:rPr>
                <w:b/>
              </w:rPr>
            </w:pPr>
            <w:r w:rsidRPr="00DE21F3">
              <w:rPr>
                <w:b/>
              </w:rPr>
              <w:t>Zentralabitur</w:t>
            </w:r>
            <w:r w:rsidR="009F7DF3" w:rsidRPr="00DE21F3">
              <w:rPr>
                <w:b/>
              </w:rPr>
              <w:t xml:space="preserve"> 2024</w:t>
            </w:r>
          </w:p>
        </w:tc>
        <w:tc>
          <w:tcPr>
            <w:tcW w:w="2527" w:type="dxa"/>
            <w:vAlign w:val="center"/>
          </w:tcPr>
          <w:p w:rsidR="009F7DF3" w:rsidRPr="00DE21F3" w:rsidRDefault="00E50818" w:rsidP="00257089">
            <w:pPr>
              <w:jc w:val="center"/>
              <w:rPr>
                <w:b/>
              </w:rPr>
            </w:pPr>
            <w:r w:rsidRPr="00E50818">
              <w:rPr>
                <w:b/>
              </w:rPr>
              <w:t>Biologie mit Experiment</w:t>
            </w:r>
          </w:p>
        </w:tc>
        <w:tc>
          <w:tcPr>
            <w:tcW w:w="2943" w:type="dxa"/>
            <w:vAlign w:val="center"/>
          </w:tcPr>
          <w:p w:rsidR="009F7DF3" w:rsidRPr="00DE21F3" w:rsidRDefault="005F3C17" w:rsidP="00257089">
            <w:pPr>
              <w:jc w:val="center"/>
              <w:rPr>
                <w:b/>
              </w:rPr>
            </w:pPr>
            <w:r w:rsidRPr="00DE21F3">
              <w:rPr>
                <w:b/>
              </w:rPr>
              <w:t>Material für Prüflinge</w:t>
            </w:r>
          </w:p>
        </w:tc>
      </w:tr>
      <w:tr w:rsidR="009F7DF3" w:rsidTr="00E50818">
        <w:tc>
          <w:tcPr>
            <w:tcW w:w="3680" w:type="dxa"/>
            <w:vAlign w:val="center"/>
          </w:tcPr>
          <w:p w:rsidR="009F7DF3" w:rsidRPr="00DE21F3" w:rsidRDefault="00DE21F3" w:rsidP="00D710BF">
            <w:pPr>
              <w:jc w:val="center"/>
              <w:rPr>
                <w:b/>
              </w:rPr>
            </w:pPr>
            <w:r w:rsidRPr="00DE21F3">
              <w:rPr>
                <w:b/>
              </w:rPr>
              <w:t>Funktionszusammenhänge: Leben und Energie</w:t>
            </w:r>
          </w:p>
        </w:tc>
        <w:tc>
          <w:tcPr>
            <w:tcW w:w="2527" w:type="dxa"/>
            <w:vAlign w:val="center"/>
          </w:tcPr>
          <w:p w:rsidR="009F7DF3" w:rsidRPr="00DE21F3" w:rsidRDefault="00DE21F3" w:rsidP="00257089">
            <w:pPr>
              <w:jc w:val="center"/>
              <w:rPr>
                <w:b/>
              </w:rPr>
            </w:pPr>
            <w:proofErr w:type="spellStart"/>
            <w:r w:rsidRPr="00DE21F3">
              <w:rPr>
                <w:b/>
              </w:rPr>
              <w:t>eA</w:t>
            </w:r>
            <w:proofErr w:type="spellEnd"/>
          </w:p>
        </w:tc>
        <w:tc>
          <w:tcPr>
            <w:tcW w:w="2943" w:type="dxa"/>
            <w:vAlign w:val="center"/>
          </w:tcPr>
          <w:p w:rsidR="009F7DF3" w:rsidRPr="00DE21F3" w:rsidRDefault="005F3C17" w:rsidP="00257089">
            <w:pPr>
              <w:jc w:val="center"/>
              <w:rPr>
                <w:b/>
              </w:rPr>
            </w:pPr>
            <w:r w:rsidRPr="00DE21F3">
              <w:rPr>
                <w:b/>
              </w:rPr>
              <w:t>Prüfungszeit</w:t>
            </w:r>
            <w:r w:rsidR="00DE21F3" w:rsidRPr="00DE21F3">
              <w:rPr>
                <w:b/>
              </w:rPr>
              <w:t>*</w:t>
            </w:r>
            <w:r w:rsidRPr="00DE21F3">
              <w:rPr>
                <w:b/>
              </w:rPr>
              <w:t>:</w:t>
            </w:r>
            <w:r w:rsidRPr="00DE21F3">
              <w:rPr>
                <w:b/>
              </w:rPr>
              <w:br/>
            </w:r>
            <w:r w:rsidR="00DE21F3" w:rsidRPr="00DE21F3">
              <w:rPr>
                <w:b/>
              </w:rPr>
              <w:t>3</w:t>
            </w:r>
            <w:r w:rsidRPr="00DE21F3">
              <w:rPr>
                <w:b/>
              </w:rPr>
              <w:t>00 min</w:t>
            </w:r>
          </w:p>
        </w:tc>
      </w:tr>
    </w:tbl>
    <w:p w:rsidR="00E453A9" w:rsidRDefault="00E453A9"/>
    <w:p w:rsidR="00DE21F3" w:rsidRDefault="00DE21F3">
      <w:r w:rsidRPr="00DE21F3">
        <w:t>*</w:t>
      </w:r>
      <w:r w:rsidR="004E5F50" w:rsidRPr="004E5F50">
        <w:t>einschließlich</w:t>
      </w:r>
      <w:r w:rsidR="004E5F50">
        <w:t xml:space="preserve"> </w:t>
      </w:r>
      <w:r w:rsidRPr="00DE21F3">
        <w:t>Auswahlzeit.</w:t>
      </w:r>
    </w:p>
    <w:p w:rsidR="00DE21F3" w:rsidRDefault="00DE21F3"/>
    <w:p w:rsidR="00257089" w:rsidRDefault="00257089">
      <w:r w:rsidRPr="00F14E51">
        <w:rPr>
          <w:b/>
        </w:rPr>
        <w:t>Name:</w:t>
      </w:r>
      <w:r>
        <w:t xml:space="preserve"> </w:t>
      </w:r>
      <w:r w:rsidR="001E23F1">
        <w:t>_</w:t>
      </w:r>
      <w:r w:rsidR="001E23F1" w:rsidRPr="00257089">
        <w:rPr>
          <w:highlight w:val="yellow"/>
        </w:rPr>
        <w:t>%</w:t>
      </w:r>
      <w:r w:rsidR="001E23F1">
        <w:t>_</w:t>
      </w:r>
      <w:bookmarkStart w:id="0" w:name="_GoBack"/>
      <w:bookmarkEnd w:id="0"/>
    </w:p>
    <w:p w:rsidR="00257089" w:rsidRDefault="00257089"/>
    <w:p w:rsidR="00257089" w:rsidRDefault="00257089">
      <w:r w:rsidRPr="00F14E51">
        <w:rPr>
          <w:b/>
        </w:rPr>
        <w:t>Klasse:</w:t>
      </w:r>
      <w:r>
        <w:t xml:space="preserve"> _</w:t>
      </w:r>
      <w:r w:rsidRPr="00257089">
        <w:rPr>
          <w:highlight w:val="yellow"/>
        </w:rPr>
        <w:t>%</w:t>
      </w:r>
      <w:r>
        <w:t>_</w:t>
      </w:r>
    </w:p>
    <w:p w:rsidR="00E50818" w:rsidRPr="00E50818" w:rsidRDefault="00E50818" w:rsidP="00E50818"/>
    <w:p w:rsidR="00036F44" w:rsidRPr="00EA569A" w:rsidRDefault="00036F44" w:rsidP="00923BA3">
      <w:pPr>
        <w:pStyle w:val="berschrift2"/>
      </w:pPr>
      <w:bookmarkStart w:id="1" w:name="_Toc158638869"/>
      <w:r w:rsidRPr="00EA569A">
        <w:t xml:space="preserve">Aufgabe </w:t>
      </w:r>
      <w:r w:rsidR="00E01334" w:rsidRPr="00EA569A">
        <w:t>1</w:t>
      </w:r>
      <w:r w:rsidRPr="00EA569A">
        <w:t xml:space="preserve"> (</w:t>
      </w:r>
      <w:r w:rsidR="00E01334" w:rsidRPr="00EA569A">
        <w:t>40</w:t>
      </w:r>
      <w:r w:rsidR="004A4F7A" w:rsidRPr="00EA569A">
        <w:t xml:space="preserve"> </w:t>
      </w:r>
      <w:r w:rsidR="00C47A10">
        <w:t>BE</w:t>
      </w:r>
      <w:r w:rsidRPr="00EA569A">
        <w:t>)</w:t>
      </w:r>
      <w:bookmarkEnd w:id="1"/>
    </w:p>
    <w:p w:rsidR="00036F44" w:rsidRPr="00EA569A" w:rsidRDefault="00036F44" w:rsidP="0054025B">
      <w:pPr>
        <w:spacing w:line="200" w:lineRule="exact"/>
      </w:pPr>
    </w:p>
    <w:p w:rsidR="00E01334" w:rsidRPr="00E01334" w:rsidRDefault="00E01334" w:rsidP="00E01334">
      <w:pPr>
        <w:pStyle w:val="berschrift4"/>
      </w:pPr>
      <w:r w:rsidRPr="00E01334">
        <w:t>Schwerpunkt: Leben und Energie</w:t>
      </w:r>
    </w:p>
    <w:p w:rsidR="00E50818" w:rsidRDefault="004E5F50" w:rsidP="00E50818">
      <w:r w:rsidRPr="004E5F50">
        <w:t>Menschen besitzen im Mundspeichel und im Darm das Enzym α-Amylase in unterschiedlich großer Konzentration. α-Amylase ist bei der Verdauung von Stärke aktiv. Abweichungen in der Anzahl des α-Amylase-Gens zwischen menschlichen Populationen sind Ergebnisse evolutiver Prozesse.</w:t>
      </w:r>
    </w:p>
    <w:p w:rsidR="00E50818" w:rsidRPr="00E50818" w:rsidRDefault="00E50818" w:rsidP="00E50818">
      <w:pPr>
        <w:rPr>
          <w:sz w:val="14"/>
          <w:szCs w:val="14"/>
        </w:rPr>
      </w:pPr>
    </w:p>
    <w:p w:rsidR="00E50818" w:rsidRPr="00AA4956" w:rsidRDefault="00E50818" w:rsidP="00AA4956">
      <w:pPr>
        <w:pStyle w:val="berschrift4"/>
      </w:pPr>
      <w:r w:rsidRPr="00AA4956">
        <w:t>Hinweis:</w:t>
      </w:r>
    </w:p>
    <w:p w:rsidR="00E50818" w:rsidRDefault="004E5F50" w:rsidP="004E5F50">
      <w:r>
        <w:t>Die Aufgabe enthält ein Experiment. Sollten Ihnen Ihre Ergebnisse unbrauchbar erscheinen, können Sie korrekte Daten bei der Aufsicht führenden Lehrkraft anfordern. Die für die Durchführung des Experiments und die Nennung der Beobachtungen zu vergebenden 12 BE können Sie dann nicht mehr erreichen.</w:t>
      </w:r>
    </w:p>
    <w:p w:rsidR="00E01334" w:rsidRDefault="004E5F50" w:rsidP="00E50818">
      <w:r w:rsidRPr="004E5F50">
        <w:t>Im Folgenden soll ein Experiment geplant und d</w:t>
      </w:r>
      <w:r w:rsidR="00AA4956">
        <w:t>urchgeführt werden. Die Planung</w:t>
      </w:r>
      <w:r w:rsidR="00AA4956">
        <w:br/>
      </w:r>
      <w:r w:rsidRPr="004E5F50">
        <w:t>soll eine tabellarische Experimentieranordnung sowie eine Begründung der Planungsentscheidungen enthalten.</w:t>
      </w:r>
    </w:p>
    <w:p w:rsidR="00EA569A" w:rsidRDefault="00E01334" w:rsidP="00EA569A">
      <w:pPr>
        <w:pStyle w:val="Liste"/>
      </w:pPr>
      <w:r w:rsidRPr="00E01334">
        <w:lastRenderedPageBreak/>
        <w:t>1.1</w:t>
      </w:r>
      <w:r w:rsidRPr="00E01334">
        <w:tab/>
      </w:r>
      <w:r w:rsidR="004E5F50" w:rsidRPr="004E5F50">
        <w:t>Planen Sie mithilfe von M2 ein Experiment, mit dem die Hypothese der Forscher (M1) geprüft werden kann</w:t>
      </w:r>
      <w:r w:rsidR="00C07F2F">
        <w:t>.</w:t>
      </w:r>
      <w:r w:rsidR="004E5F50">
        <w:t xml:space="preserve"> </w:t>
      </w:r>
      <w:r w:rsidR="004E5F50" w:rsidRPr="004E5F50">
        <w:rPr>
          <w:b/>
        </w:rPr>
        <w:t>[10 BE]</w:t>
      </w:r>
      <w:r w:rsidR="00EA569A">
        <w:br/>
        <w:t>_</w:t>
      </w:r>
      <w:r w:rsidR="00EA569A" w:rsidRPr="00036F44">
        <w:rPr>
          <w:highlight w:val="yellow"/>
        </w:rPr>
        <w:t>%</w:t>
      </w:r>
      <w:r w:rsidR="00EA569A">
        <w:t>_</w:t>
      </w:r>
    </w:p>
    <w:p w:rsidR="00E50818" w:rsidRDefault="00E50818" w:rsidP="00EA569A">
      <w:pPr>
        <w:pStyle w:val="Liste"/>
      </w:pPr>
    </w:p>
    <w:p w:rsidR="00EA569A" w:rsidRDefault="00E50818" w:rsidP="00E50818">
      <w:pPr>
        <w:pStyle w:val="Listenfortsetzung"/>
      </w:pPr>
      <w:r w:rsidRPr="00E50818">
        <w:t>Führen Sie das Experiment durch un</w:t>
      </w:r>
      <w:r>
        <w:t>d nennen Sie Ihre Beobachtungen</w:t>
      </w:r>
      <w:r w:rsidR="00E01334" w:rsidRPr="00E01334">
        <w:t>.</w:t>
      </w:r>
      <w:r w:rsidR="00D710BF">
        <w:br/>
      </w:r>
      <w:r w:rsidR="00BA6333" w:rsidRPr="00BA6333">
        <w:rPr>
          <w:b/>
        </w:rPr>
        <w:t>[</w:t>
      </w:r>
      <w:r w:rsidR="00A27C77" w:rsidRPr="00BA6333">
        <w:rPr>
          <w:b/>
        </w:rPr>
        <w:t>12 BE</w:t>
      </w:r>
      <w:r w:rsidR="00BA6333" w:rsidRPr="00BA6333">
        <w:rPr>
          <w:b/>
        </w:rPr>
        <w:t>]</w:t>
      </w:r>
      <w:r w:rsidR="00EA569A">
        <w:br/>
        <w:t>_</w:t>
      </w:r>
      <w:r w:rsidR="00EA569A" w:rsidRPr="00036F44">
        <w:rPr>
          <w:highlight w:val="yellow"/>
        </w:rPr>
        <w:t>%</w:t>
      </w:r>
      <w:r w:rsidR="00EA569A">
        <w:t>_</w:t>
      </w:r>
    </w:p>
    <w:p w:rsidR="00E01334" w:rsidRDefault="00E01334" w:rsidP="00E01334"/>
    <w:p w:rsidR="00E50818" w:rsidRDefault="00E50818" w:rsidP="00E50818">
      <w:pPr>
        <w:pStyle w:val="Listenfortsetzung"/>
      </w:pPr>
      <w:r w:rsidRPr="00E50818">
        <w:t>Deuten Sie Ihre Beobachtungen im Hinblick auf die in M1 aufgestellte Hypothese.</w:t>
      </w:r>
      <w:r w:rsidR="00A27C77" w:rsidRPr="00D710BF">
        <w:rPr>
          <w:b/>
        </w:rPr>
        <w:t xml:space="preserve"> </w:t>
      </w:r>
      <w:r w:rsidR="00521461" w:rsidRPr="00D710BF">
        <w:rPr>
          <w:b/>
        </w:rPr>
        <w:t>[</w:t>
      </w:r>
      <w:r w:rsidR="00A27C77" w:rsidRPr="00D710BF">
        <w:rPr>
          <w:b/>
        </w:rPr>
        <w:t>06 BE</w:t>
      </w:r>
      <w:r w:rsidR="00521461" w:rsidRPr="00D710BF">
        <w:rPr>
          <w:b/>
        </w:rPr>
        <w:t>]</w:t>
      </w:r>
      <w:r>
        <w:br/>
        <w:t>_</w:t>
      </w:r>
      <w:r w:rsidRPr="00036F44">
        <w:rPr>
          <w:highlight w:val="yellow"/>
        </w:rPr>
        <w:t>%</w:t>
      </w:r>
      <w:r>
        <w:t>_</w:t>
      </w:r>
    </w:p>
    <w:p w:rsidR="00E50818" w:rsidRDefault="00E50818" w:rsidP="00E01334"/>
    <w:p w:rsidR="00E50818" w:rsidRDefault="002554BB" w:rsidP="00E50818">
      <w:pPr>
        <w:pStyle w:val="Listenfortsetzung"/>
      </w:pPr>
      <w:r w:rsidRPr="002554BB">
        <w:t>Erklären Sie auf Grundlage Ihrer experimentellen Ergebnisse das Zusammenspiel von kultureller und biologischer Evolution</w:t>
      </w:r>
      <w:r w:rsidR="00E50818" w:rsidRPr="00E50818">
        <w:t xml:space="preserve"> (M1, M2).</w:t>
      </w:r>
      <w:r w:rsidR="00DC4471">
        <w:t xml:space="preserve"> </w:t>
      </w:r>
      <w:r w:rsidRPr="002554BB">
        <w:rPr>
          <w:b/>
        </w:rPr>
        <w:t>[08 BE]</w:t>
      </w:r>
      <w:r w:rsidR="00E50818">
        <w:br/>
        <w:t>_</w:t>
      </w:r>
      <w:r w:rsidR="00E50818" w:rsidRPr="00036F44">
        <w:rPr>
          <w:highlight w:val="yellow"/>
        </w:rPr>
        <w:t>%</w:t>
      </w:r>
      <w:r w:rsidR="00E50818">
        <w:t>_</w:t>
      </w:r>
    </w:p>
    <w:p w:rsidR="00E50818" w:rsidRDefault="00E50818" w:rsidP="00E01334"/>
    <w:p w:rsidR="00E50818" w:rsidRDefault="002554BB" w:rsidP="00E50818">
      <w:pPr>
        <w:pStyle w:val="Listenfortsetzung"/>
      </w:pPr>
      <w:r w:rsidRPr="002554BB">
        <w:t>Beurteilen Sie die Übertragbarkeit der experimentellen Ergebnisse auf den Stärkeabbau beim Menschen.</w:t>
      </w:r>
      <w:r w:rsidR="00A27C77">
        <w:t xml:space="preserve"> </w:t>
      </w:r>
      <w:r w:rsidRPr="002554BB">
        <w:rPr>
          <w:b/>
        </w:rPr>
        <w:t>[04 BE]</w:t>
      </w:r>
      <w:r w:rsidR="00E50818">
        <w:br/>
        <w:t>_</w:t>
      </w:r>
      <w:r w:rsidR="00E50818" w:rsidRPr="00036F44">
        <w:rPr>
          <w:highlight w:val="yellow"/>
        </w:rPr>
        <w:t>%</w:t>
      </w:r>
      <w:r w:rsidR="00E50818">
        <w:t>_</w:t>
      </w:r>
    </w:p>
    <w:p w:rsidR="00E50818" w:rsidRPr="00E01334" w:rsidRDefault="00E50818" w:rsidP="00E01334"/>
    <w:p w:rsidR="00A009EF" w:rsidRPr="00EA569A" w:rsidRDefault="00036F44" w:rsidP="00A009EF">
      <w:pPr>
        <w:pStyle w:val="berschrift1"/>
      </w:pPr>
      <w:r>
        <w:br w:type="page"/>
      </w:r>
      <w:bookmarkStart w:id="2" w:name="_Toc158638870"/>
      <w:r w:rsidR="00A009EF">
        <w:lastRenderedPageBreak/>
        <w:t>Material</w:t>
      </w:r>
      <w:bookmarkEnd w:id="2"/>
    </w:p>
    <w:p w:rsidR="00A009EF" w:rsidRPr="00EA569A" w:rsidRDefault="00A009EF" w:rsidP="00A009EF"/>
    <w:p w:rsidR="00A009EF" w:rsidRPr="00EA569A" w:rsidRDefault="00A009EF" w:rsidP="00A009EF">
      <w:pPr>
        <w:pStyle w:val="berschrift2"/>
      </w:pPr>
      <w:bookmarkStart w:id="3" w:name="_Toc158638871"/>
      <w:r>
        <w:t>M</w:t>
      </w:r>
      <w:r w:rsidRPr="00EA569A">
        <w:t>1</w:t>
      </w:r>
      <w:r>
        <w:tab/>
      </w:r>
      <w:r w:rsidR="004D4F97" w:rsidRPr="004D4F97">
        <w:t>α-Amylase bei Menschen</w:t>
      </w:r>
      <w:bookmarkEnd w:id="3"/>
    </w:p>
    <w:p w:rsidR="00A009EF" w:rsidRPr="004D4F97" w:rsidRDefault="00A009EF" w:rsidP="00A009EF">
      <w:pPr>
        <w:rPr>
          <w:sz w:val="14"/>
          <w:szCs w:val="14"/>
        </w:rPr>
      </w:pPr>
    </w:p>
    <w:p w:rsidR="004D4F97" w:rsidRDefault="00960C76" w:rsidP="00960C76">
      <w:r>
        <w:t xml:space="preserve">Das im menschlichen Mundspeichel (pH = 6 - 7,5) und Darm (pH = 8 - 9) vorhandene Enzym α-Amylase katalysiert die Reaktion der in pflanzlicher Nahrung enthaltenen Stärkemoleküle zu Maltose- und teilweise zu </w:t>
      </w:r>
      <w:proofErr w:type="spellStart"/>
      <w:r>
        <w:t>Glucosemolekülen</w:t>
      </w:r>
      <w:proofErr w:type="spellEnd"/>
      <w:r>
        <w:t>. Letztere gelangen in das Blut und dienen als energetisch nutzbare Moleküle bei der Zellatmung. Das Gen für die α-Amylase liegt im Genom des Menschen mehrfach vor. Die α-Amylase-Konzentration im Speichel ist dabei umso höher, je mehr α-Amylase-Gene vorhanden sind.</w:t>
      </w:r>
    </w:p>
    <w:p w:rsidR="006E612F" w:rsidRDefault="00960C76" w:rsidP="00C503A9">
      <w:r w:rsidRPr="00960C76">
        <w:t xml:space="preserve">Die </w:t>
      </w:r>
      <w:proofErr w:type="spellStart"/>
      <w:r w:rsidRPr="00960C76">
        <w:t>Hadza</w:t>
      </w:r>
      <w:proofErr w:type="spellEnd"/>
      <w:r w:rsidRPr="00960C76">
        <w:t xml:space="preserve"> sind heute eine der letzten naturnah lebenden menschlichen Gemeinschaften Ostafrikas. Bei ihnen wurde die Anzahl an α-Amylase-Genen bestimmt. Die Hauptnahrung der </w:t>
      </w:r>
      <w:proofErr w:type="spellStart"/>
      <w:r w:rsidRPr="00960C76">
        <w:t>Hadza</w:t>
      </w:r>
      <w:proofErr w:type="spellEnd"/>
      <w:r w:rsidRPr="00960C76">
        <w:t xml:space="preserve"> besteht kulturell bedingt aus Getreideprodukten und weist damit einen hohen Stärkeanteil auf.</w:t>
      </w:r>
    </w:p>
    <w:p w:rsidR="00D710BF" w:rsidRDefault="00D710BF" w:rsidP="00C503A9"/>
    <w:tbl>
      <w:tblPr>
        <w:tblStyle w:val="Tabellenraster"/>
        <w:tblW w:w="9150"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954"/>
        <w:gridCol w:w="2977"/>
        <w:gridCol w:w="3219"/>
      </w:tblGrid>
      <w:tr w:rsidR="00933281" w:rsidTr="000B4F61">
        <w:trPr>
          <w:jc w:val="center"/>
        </w:trPr>
        <w:tc>
          <w:tcPr>
            <w:tcW w:w="2954" w:type="dxa"/>
            <w:tcMar>
              <w:top w:w="170" w:type="dxa"/>
            </w:tcMar>
            <w:vAlign w:val="center"/>
          </w:tcPr>
          <w:p w:rsidR="00933281" w:rsidRDefault="00933281" w:rsidP="00B42250">
            <w:pPr>
              <w:jc w:val="center"/>
            </w:pPr>
            <w:bookmarkStart w:id="4" w:name="title001"/>
            <w:bookmarkEnd w:id="4"/>
          </w:p>
        </w:tc>
        <w:tc>
          <w:tcPr>
            <w:tcW w:w="2977" w:type="dxa"/>
            <w:tcMar>
              <w:top w:w="170" w:type="dxa"/>
            </w:tcMar>
            <w:vAlign w:val="center"/>
          </w:tcPr>
          <w:p w:rsidR="00933281" w:rsidRPr="00933281" w:rsidRDefault="00933281" w:rsidP="000B4F61">
            <w:pPr>
              <w:jc w:val="center"/>
              <w:rPr>
                <w:b/>
              </w:rPr>
            </w:pPr>
            <w:r w:rsidRPr="00933281">
              <w:rPr>
                <w:b/>
              </w:rPr>
              <w:t>Vorfa</w:t>
            </w:r>
            <w:r w:rsidR="006719A0">
              <w:rPr>
                <w:b/>
              </w:rPr>
              <w:t>hren</w:t>
            </w:r>
            <w:r w:rsidR="000B4F61">
              <w:rPr>
                <w:b/>
              </w:rPr>
              <w:t xml:space="preserve"> </w:t>
            </w:r>
            <w:r w:rsidRPr="00933281">
              <w:rPr>
                <w:b/>
              </w:rPr>
              <w:t xml:space="preserve">der </w:t>
            </w:r>
            <w:proofErr w:type="spellStart"/>
            <w:r w:rsidRPr="00933281">
              <w:rPr>
                <w:b/>
              </w:rPr>
              <w:t>Hadza</w:t>
            </w:r>
            <w:proofErr w:type="spellEnd"/>
          </w:p>
        </w:tc>
        <w:tc>
          <w:tcPr>
            <w:tcW w:w="3219" w:type="dxa"/>
            <w:tcMar>
              <w:top w:w="170" w:type="dxa"/>
            </w:tcMar>
            <w:vAlign w:val="center"/>
          </w:tcPr>
          <w:p w:rsidR="00933281" w:rsidRPr="00933281" w:rsidRDefault="00933281" w:rsidP="00933281">
            <w:pPr>
              <w:jc w:val="center"/>
              <w:rPr>
                <w:b/>
              </w:rPr>
            </w:pPr>
            <w:proofErr w:type="spellStart"/>
            <w:r w:rsidRPr="00933281">
              <w:rPr>
                <w:b/>
              </w:rPr>
              <w:t>Hadza</w:t>
            </w:r>
            <w:proofErr w:type="spellEnd"/>
          </w:p>
        </w:tc>
      </w:tr>
      <w:tr w:rsidR="00933281" w:rsidTr="000B4F61">
        <w:trPr>
          <w:jc w:val="center"/>
        </w:trPr>
        <w:tc>
          <w:tcPr>
            <w:tcW w:w="2954" w:type="dxa"/>
            <w:tcMar>
              <w:top w:w="170" w:type="dxa"/>
            </w:tcMar>
            <w:vAlign w:val="center"/>
          </w:tcPr>
          <w:p w:rsidR="00933281" w:rsidRDefault="00933281" w:rsidP="00B42250">
            <w:pPr>
              <w:jc w:val="center"/>
            </w:pPr>
            <w:r w:rsidRPr="00933281">
              <w:t>Hauptnahrung</w:t>
            </w:r>
          </w:p>
        </w:tc>
        <w:tc>
          <w:tcPr>
            <w:tcW w:w="2977" w:type="dxa"/>
            <w:tcMar>
              <w:top w:w="170" w:type="dxa"/>
            </w:tcMar>
            <w:vAlign w:val="center"/>
          </w:tcPr>
          <w:p w:rsidR="00933281" w:rsidRDefault="00933281" w:rsidP="00933281">
            <w:pPr>
              <w:jc w:val="center"/>
            </w:pPr>
            <w:r w:rsidRPr="00933281">
              <w:t>Mischkost</w:t>
            </w:r>
          </w:p>
        </w:tc>
        <w:tc>
          <w:tcPr>
            <w:tcW w:w="3219" w:type="dxa"/>
            <w:tcMar>
              <w:top w:w="170" w:type="dxa"/>
            </w:tcMar>
            <w:vAlign w:val="center"/>
          </w:tcPr>
          <w:p w:rsidR="00933281" w:rsidRDefault="00FE7EBF" w:rsidP="003457CE">
            <w:pPr>
              <w:jc w:val="center"/>
            </w:pPr>
            <w:r>
              <w:t>vor allem Getreideprodukte</w:t>
            </w:r>
            <w:r>
              <w:br/>
            </w:r>
            <w:r w:rsidR="00933281" w:rsidRPr="00933281">
              <w:t>mit hohem Stärkeanteil</w:t>
            </w:r>
          </w:p>
        </w:tc>
      </w:tr>
      <w:tr w:rsidR="00933281" w:rsidTr="000B4F61">
        <w:trPr>
          <w:jc w:val="center"/>
        </w:trPr>
        <w:tc>
          <w:tcPr>
            <w:tcW w:w="2954" w:type="dxa"/>
            <w:tcMar>
              <w:top w:w="170" w:type="dxa"/>
            </w:tcMar>
            <w:vAlign w:val="center"/>
          </w:tcPr>
          <w:p w:rsidR="00933281" w:rsidRDefault="00FE7EBF" w:rsidP="00FE7EBF">
            <w:pPr>
              <w:jc w:val="center"/>
            </w:pPr>
            <w:r>
              <w:t>Durchschnittliche Anzahl</w:t>
            </w:r>
            <w:r>
              <w:br/>
            </w:r>
            <w:r w:rsidR="00B42250">
              <w:t>an</w:t>
            </w:r>
            <w:r>
              <w:t xml:space="preserve"> </w:t>
            </w:r>
            <w:r w:rsidR="00933281">
              <w:t>α-Amylase-Genen</w:t>
            </w:r>
          </w:p>
        </w:tc>
        <w:tc>
          <w:tcPr>
            <w:tcW w:w="2977" w:type="dxa"/>
            <w:tcMar>
              <w:top w:w="170" w:type="dxa"/>
            </w:tcMar>
            <w:vAlign w:val="center"/>
          </w:tcPr>
          <w:p w:rsidR="00933281" w:rsidRDefault="00933281" w:rsidP="00933281">
            <w:pPr>
              <w:jc w:val="center"/>
            </w:pPr>
            <w:r w:rsidRPr="00933281">
              <w:t>5,9 ± 0,4</w:t>
            </w:r>
          </w:p>
        </w:tc>
        <w:tc>
          <w:tcPr>
            <w:tcW w:w="3219" w:type="dxa"/>
            <w:tcMar>
              <w:top w:w="170" w:type="dxa"/>
            </w:tcMar>
            <w:vAlign w:val="center"/>
          </w:tcPr>
          <w:p w:rsidR="00933281" w:rsidRDefault="00933281" w:rsidP="00933281">
            <w:pPr>
              <w:jc w:val="center"/>
            </w:pPr>
            <w:r w:rsidRPr="00933281">
              <w:t>6,7 ± 0,2</w:t>
            </w:r>
          </w:p>
        </w:tc>
      </w:tr>
    </w:tbl>
    <w:p w:rsidR="00C503A9" w:rsidRDefault="00C503A9" w:rsidP="00C503A9"/>
    <w:p w:rsidR="00D710BF" w:rsidRDefault="00D710BF">
      <w:pPr>
        <w:spacing w:after="0" w:line="240" w:lineRule="auto"/>
      </w:pPr>
      <w:r>
        <w:br w:type="page"/>
      </w:r>
    </w:p>
    <w:p w:rsidR="00933281" w:rsidRDefault="00960C76" w:rsidP="00933281">
      <w:r w:rsidRPr="00960C76">
        <w:lastRenderedPageBreak/>
        <w:t xml:space="preserve">Da ein Zusammenhang zwischen der Anzahl an α-Amylase-Genen und produzierter Enzymmenge besteht, sehen Forscher eine Angepasstheit für die Individuen der </w:t>
      </w:r>
      <w:proofErr w:type="spellStart"/>
      <w:r w:rsidRPr="00960C76">
        <w:t>Hadza</w:t>
      </w:r>
      <w:proofErr w:type="spellEnd"/>
      <w:r w:rsidRPr="00960C76">
        <w:t xml:space="preserve"> im Hinblick auf die Verwertbarkeit pflanzlicher Nahrung mit hohem Stärkeanteil und haben unter anderem folgende Hypothese aufgestellt:</w:t>
      </w:r>
    </w:p>
    <w:p w:rsidR="00933281" w:rsidRDefault="00933281">
      <w:pPr>
        <w:spacing w:after="0" w:line="240" w:lineRule="auto"/>
      </w:pPr>
    </w:p>
    <w:p w:rsidR="00933281" w:rsidRPr="00D80943" w:rsidRDefault="00933281" w:rsidP="000D5141">
      <w:pPr>
        <w:pStyle w:val="berschrift4"/>
      </w:pPr>
      <w:r w:rsidRPr="00D80943">
        <w:t>Hypothese:</w:t>
      </w:r>
    </w:p>
    <w:p w:rsidR="00933281" w:rsidRDefault="00933281" w:rsidP="00933281">
      <w:r>
        <w:t>Je höher die α-Amylase-Konzentration im Speichel ist, desto höher ist die Geschwindigkeit der Umsetzung pflanzlicher Stärke.</w:t>
      </w:r>
    </w:p>
    <w:p w:rsidR="00933281" w:rsidRDefault="00933281" w:rsidP="00933281"/>
    <w:p w:rsidR="00933281" w:rsidRPr="00933281" w:rsidRDefault="00933281" w:rsidP="00933281">
      <w:pPr>
        <w:pStyle w:val="berschrift4"/>
        <w:rPr>
          <w:lang w:val="en-GB"/>
        </w:rPr>
      </w:pPr>
      <w:proofErr w:type="spellStart"/>
      <w:r w:rsidRPr="00933281">
        <w:rPr>
          <w:lang w:val="en-GB"/>
        </w:rPr>
        <w:t>Verändert</w:t>
      </w:r>
      <w:proofErr w:type="spellEnd"/>
      <w:r w:rsidRPr="00933281">
        <w:rPr>
          <w:lang w:val="en-GB"/>
        </w:rPr>
        <w:t xml:space="preserve"> </w:t>
      </w:r>
      <w:proofErr w:type="spellStart"/>
      <w:r w:rsidRPr="00933281">
        <w:rPr>
          <w:lang w:val="en-GB"/>
        </w:rPr>
        <w:t>aus</w:t>
      </w:r>
      <w:proofErr w:type="spellEnd"/>
      <w:r w:rsidRPr="00933281">
        <w:rPr>
          <w:lang w:val="en-GB"/>
        </w:rPr>
        <w:t>:</w:t>
      </w:r>
    </w:p>
    <w:p w:rsidR="00933281" w:rsidRDefault="00933281" w:rsidP="00933281">
      <w:r w:rsidRPr="00933281">
        <w:rPr>
          <w:lang w:val="en-GB"/>
        </w:rPr>
        <w:t>Perry, G. H. et al: Diet and the evolution of human amyl</w:t>
      </w:r>
      <w:r w:rsidR="00B42250">
        <w:rPr>
          <w:lang w:val="en-GB"/>
        </w:rPr>
        <w:t>ase gene copy number variation.</w:t>
      </w:r>
      <w:r w:rsidR="00D710BF">
        <w:rPr>
          <w:lang w:val="en-GB"/>
        </w:rPr>
        <w:t xml:space="preserve"> </w:t>
      </w:r>
      <w:r>
        <w:t xml:space="preserve">In: Nature </w:t>
      </w:r>
      <w:proofErr w:type="spellStart"/>
      <w:r>
        <w:t>Genetics</w:t>
      </w:r>
      <w:proofErr w:type="spellEnd"/>
      <w:r>
        <w:t>, Vol. 39 (2007), S. 1</w:t>
      </w:r>
      <w:r w:rsidR="007E35D9">
        <w:t>.</w:t>
      </w:r>
      <w:r>
        <w:t>256-1</w:t>
      </w:r>
      <w:r w:rsidR="007E35D9">
        <w:t>.</w:t>
      </w:r>
      <w:r>
        <w:t>260.</w:t>
      </w:r>
    </w:p>
    <w:p w:rsidR="00933281" w:rsidRDefault="00933281" w:rsidP="00C503A9"/>
    <w:p w:rsidR="00933281" w:rsidRDefault="00933281">
      <w:pPr>
        <w:spacing w:after="0" w:line="240" w:lineRule="auto"/>
      </w:pPr>
      <w:r>
        <w:br w:type="page"/>
      </w:r>
    </w:p>
    <w:p w:rsidR="00933281" w:rsidRDefault="00933281" w:rsidP="00933281">
      <w:pPr>
        <w:pStyle w:val="berschrift2"/>
      </w:pPr>
      <w:bookmarkStart w:id="5" w:name="_Toc158638872"/>
      <w:r>
        <w:lastRenderedPageBreak/>
        <w:t>M2</w:t>
      </w:r>
      <w:r>
        <w:tab/>
        <w:t>Untersuchung der α-Amylase-Aktivität</w:t>
      </w:r>
      <w:bookmarkEnd w:id="5"/>
    </w:p>
    <w:p w:rsidR="00933281" w:rsidRDefault="00933281" w:rsidP="00933281">
      <w:pPr>
        <w:pStyle w:val="berschrift4"/>
      </w:pPr>
      <w:r>
        <w:t>M2a: Hinweise zur Untersuchung der α-Amylase-Aktivität</w:t>
      </w:r>
    </w:p>
    <w:p w:rsidR="00933281" w:rsidRDefault="00933281" w:rsidP="00933281"/>
    <w:p w:rsidR="00A6160E" w:rsidRDefault="00A6160E" w:rsidP="00A6160E">
      <w:r>
        <w:t>Die Wirkung der α-Amylase kann unter Laborbedingungen unter anderem mit in Wasser gelöster Stärke als Substratlösung veranschaulicht werden:</w:t>
      </w:r>
    </w:p>
    <w:p w:rsidR="00A6160E" w:rsidRDefault="00A6160E" w:rsidP="00A6160E"/>
    <w:p w:rsidR="00933281" w:rsidRDefault="00A6160E" w:rsidP="00A6160E">
      <w:r>
        <w:t xml:space="preserve">In ein Reagenzglas werden dazu 2 </w:t>
      </w:r>
      <w:proofErr w:type="spellStart"/>
      <w:r>
        <w:t>mL</w:t>
      </w:r>
      <w:proofErr w:type="spellEnd"/>
      <w:r>
        <w:t xml:space="preserve"> Stärkelösung</w:t>
      </w:r>
      <w:r w:rsidR="00D710BF">
        <w:t xml:space="preserve"> </w:t>
      </w:r>
      <w:r>
        <w:t xml:space="preserve">(w = 1 %) gefüllt und tropfenweise </w:t>
      </w:r>
      <w:proofErr w:type="spellStart"/>
      <w:r>
        <w:t>Lugolsche</w:t>
      </w:r>
      <w:proofErr w:type="spellEnd"/>
      <w:r>
        <w:t xml:space="preserve"> Lösung zugegeben, bis eine Färbung, welche die intakten Stärkemoleküle optisch anzeigt, erkennbar ist. Anschließend erfolgt die Zugabe von 2 </w:t>
      </w:r>
      <w:proofErr w:type="spellStart"/>
      <w:r>
        <w:t>mL</w:t>
      </w:r>
      <w:proofErr w:type="spellEnd"/>
      <w:r>
        <w:t xml:space="preserve"> einer Amylase-Suspension. Der Ansatz wird geschüttelt und ca. 1 Minute stehen gelassen, bis die </w:t>
      </w:r>
      <w:r w:rsidR="000D5141">
        <w:t>Farbe nicht mehr erkennbar ist.</w:t>
      </w:r>
    </w:p>
    <w:p w:rsidR="00933281" w:rsidRDefault="00933281" w:rsidP="00933281"/>
    <w:p w:rsidR="00933281" w:rsidRDefault="00933281" w:rsidP="00933281">
      <w:pPr>
        <w:pStyle w:val="berschrift4"/>
      </w:pPr>
      <w:r>
        <w:t>M2b: Materialien für die experimentelle Untersuchung der α-Amylase-Aktivität</w:t>
      </w:r>
    </w:p>
    <w:p w:rsidR="00CD7591" w:rsidRPr="00326E8E" w:rsidRDefault="00CD7591" w:rsidP="00933281">
      <w:pPr>
        <w:rPr>
          <w:sz w:val="18"/>
          <w:szCs w:val="18"/>
        </w:rPr>
      </w:pPr>
    </w:p>
    <w:p w:rsidR="00933281" w:rsidRDefault="00933281" w:rsidP="00933281">
      <w:r>
        <w:t>Folgende Materialien stehen Ihnen zur Verfügung:</w:t>
      </w:r>
    </w:p>
    <w:p w:rsidR="00933281" w:rsidRDefault="00933281" w:rsidP="00933281">
      <w:pPr>
        <w:pStyle w:val="Liste"/>
      </w:pPr>
      <w:r>
        <w:t>-</w:t>
      </w:r>
      <w:r>
        <w:tab/>
        <w:t>5 Reagenzgläser, 5 Stopfen, Reagenzglasständer</w:t>
      </w:r>
    </w:p>
    <w:p w:rsidR="00933281" w:rsidRDefault="00933281" w:rsidP="00933281">
      <w:pPr>
        <w:pStyle w:val="Liste"/>
      </w:pPr>
      <w:r>
        <w:t>-</w:t>
      </w:r>
      <w:r>
        <w:tab/>
        <w:t>Stärkelösung (w = 1 %)</w:t>
      </w:r>
    </w:p>
    <w:p w:rsidR="00933281" w:rsidRDefault="00933281" w:rsidP="00933281">
      <w:pPr>
        <w:pStyle w:val="Liste"/>
      </w:pPr>
      <w:r>
        <w:t>-</w:t>
      </w:r>
      <w:r>
        <w:tab/>
      </w:r>
      <w:proofErr w:type="spellStart"/>
      <w:r>
        <w:t>Lugolsche</w:t>
      </w:r>
      <w:proofErr w:type="spellEnd"/>
      <w:r>
        <w:t xml:space="preserve"> Lösung (w &lt; 1 %)</w:t>
      </w:r>
    </w:p>
    <w:p w:rsidR="00933281" w:rsidRDefault="00933281" w:rsidP="00933281">
      <w:pPr>
        <w:pStyle w:val="Liste"/>
      </w:pPr>
      <w:r>
        <w:t>-</w:t>
      </w:r>
      <w:r>
        <w:tab/>
        <w:t>α-Amylase-Suspension (kurz vor Verwendung zu schütteln)</w:t>
      </w:r>
    </w:p>
    <w:p w:rsidR="00933281" w:rsidRDefault="00933281" w:rsidP="00933281">
      <w:pPr>
        <w:pStyle w:val="Liste"/>
      </w:pPr>
      <w:r>
        <w:t>-</w:t>
      </w:r>
      <w:r>
        <w:tab/>
        <w:t>destilliertes Wasser</w:t>
      </w:r>
    </w:p>
    <w:p w:rsidR="00933281" w:rsidRDefault="00933281" w:rsidP="00933281">
      <w:pPr>
        <w:pStyle w:val="Liste"/>
      </w:pPr>
      <w:r>
        <w:t>-</w:t>
      </w:r>
      <w:r>
        <w:tab/>
        <w:t>Stoppuhr</w:t>
      </w:r>
    </w:p>
    <w:p w:rsidR="00933281" w:rsidRDefault="00933281" w:rsidP="00933281">
      <w:pPr>
        <w:pStyle w:val="Liste"/>
      </w:pPr>
      <w:r>
        <w:t>-</w:t>
      </w:r>
      <w:r>
        <w:tab/>
        <w:t>3 Pipetten</w:t>
      </w:r>
    </w:p>
    <w:p w:rsidR="00933281" w:rsidRDefault="00933281" w:rsidP="00933281">
      <w:pPr>
        <w:pStyle w:val="Liste"/>
      </w:pPr>
      <w:r>
        <w:t>-</w:t>
      </w:r>
      <w:r>
        <w:tab/>
        <w:t>Schutzbrille</w:t>
      </w:r>
    </w:p>
    <w:p w:rsidR="00933281" w:rsidRPr="00326E8E" w:rsidRDefault="00933281" w:rsidP="00933281">
      <w:pPr>
        <w:rPr>
          <w:sz w:val="18"/>
          <w:szCs w:val="18"/>
        </w:rPr>
      </w:pPr>
    </w:p>
    <w:p w:rsidR="00933281" w:rsidRPr="000D5141" w:rsidRDefault="00933281" w:rsidP="000D5141">
      <w:pPr>
        <w:pStyle w:val="berschrift4"/>
      </w:pPr>
      <w:r w:rsidRPr="00A9209F">
        <w:t>Hinweis:</w:t>
      </w:r>
    </w:p>
    <w:p w:rsidR="000D5141" w:rsidRDefault="00933281" w:rsidP="00D710BF">
      <w:r>
        <w:t>Die Konzentration der α-Amylase lässt sich durch Zugabe destillierten Wassers verringern.</w:t>
      </w:r>
      <w:r w:rsidR="000D5141">
        <w:t xml:space="preserve"> </w:t>
      </w:r>
    </w:p>
    <w:p w:rsidR="00036F44" w:rsidRDefault="00CE5CC5" w:rsidP="000D5141">
      <w:pPr>
        <w:pStyle w:val="berschrift4"/>
      </w:pPr>
      <w:r>
        <w:br w:type="page"/>
      </w:r>
      <w:r w:rsidR="00036F44">
        <w:lastRenderedPageBreak/>
        <w:t>Gesamtergebnis</w:t>
      </w:r>
    </w:p>
    <w:tbl>
      <w:tblPr>
        <w:tblStyle w:val="Tabellenrast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284" w:type="dxa"/>
        </w:tblCellMar>
        <w:tblLook w:val="04A0" w:firstRow="1" w:lastRow="0" w:firstColumn="1" w:lastColumn="0" w:noHBand="0" w:noVBand="1"/>
      </w:tblPr>
      <w:tblGrid>
        <w:gridCol w:w="1310"/>
        <w:gridCol w:w="2257"/>
        <w:gridCol w:w="2257"/>
      </w:tblGrid>
      <w:tr w:rsidR="00EA569A" w:rsidRPr="00EA569A" w:rsidTr="002047F1">
        <w:tc>
          <w:tcPr>
            <w:tcW w:w="1310" w:type="dxa"/>
            <w:vAlign w:val="center"/>
          </w:tcPr>
          <w:p w:rsidR="00036F44" w:rsidRPr="00EA569A" w:rsidRDefault="00036F44" w:rsidP="006965CC">
            <w:pPr>
              <w:jc w:val="center"/>
              <w:rPr>
                <w:b/>
              </w:rPr>
            </w:pPr>
            <w:r w:rsidRPr="00EA569A">
              <w:rPr>
                <w:b/>
              </w:rPr>
              <w:t>Aufgabe</w:t>
            </w:r>
          </w:p>
        </w:tc>
        <w:tc>
          <w:tcPr>
            <w:tcW w:w="2257" w:type="dxa"/>
            <w:vAlign w:val="center"/>
          </w:tcPr>
          <w:p w:rsidR="00036F44" w:rsidRPr="00EA569A" w:rsidRDefault="00296825" w:rsidP="00EA569A">
            <w:pPr>
              <w:jc w:val="center"/>
              <w:rPr>
                <w:b/>
              </w:rPr>
            </w:pPr>
            <w:r w:rsidRPr="00EA569A">
              <w:rPr>
                <w:b/>
              </w:rPr>
              <w:t>Mögliche</w:t>
            </w:r>
            <w:r w:rsidR="00EA569A">
              <w:rPr>
                <w:b/>
              </w:rPr>
              <w:t xml:space="preserve"> </w:t>
            </w:r>
            <w:r w:rsidR="00036F44" w:rsidRPr="00EA569A">
              <w:rPr>
                <w:b/>
              </w:rPr>
              <w:t>Punkte</w:t>
            </w:r>
          </w:p>
        </w:tc>
        <w:tc>
          <w:tcPr>
            <w:tcW w:w="2257" w:type="dxa"/>
            <w:vAlign w:val="center"/>
          </w:tcPr>
          <w:p w:rsidR="00036F44" w:rsidRPr="00EA569A" w:rsidRDefault="00296825" w:rsidP="00EA569A">
            <w:pPr>
              <w:jc w:val="center"/>
              <w:rPr>
                <w:b/>
              </w:rPr>
            </w:pPr>
            <w:r w:rsidRPr="00EA569A">
              <w:rPr>
                <w:b/>
              </w:rPr>
              <w:t>Erreichte</w:t>
            </w:r>
            <w:r w:rsidR="00EA569A">
              <w:rPr>
                <w:b/>
              </w:rPr>
              <w:t xml:space="preserve"> </w:t>
            </w:r>
            <w:r w:rsidR="00036F44" w:rsidRPr="00EA569A">
              <w:rPr>
                <w:b/>
              </w:rPr>
              <w:t>Punkte</w:t>
            </w:r>
          </w:p>
        </w:tc>
      </w:tr>
      <w:tr w:rsidR="00EA569A" w:rsidRPr="00EA569A" w:rsidTr="002047F1">
        <w:tc>
          <w:tcPr>
            <w:tcW w:w="1310" w:type="dxa"/>
            <w:vAlign w:val="center"/>
          </w:tcPr>
          <w:p w:rsidR="00036F44" w:rsidRPr="00EA569A" w:rsidRDefault="00EA569A" w:rsidP="006965CC">
            <w:pPr>
              <w:jc w:val="center"/>
              <w:rPr>
                <w:b/>
              </w:rPr>
            </w:pPr>
            <w:r>
              <w:rPr>
                <w:b/>
              </w:rPr>
              <w:t>1.1</w:t>
            </w:r>
          </w:p>
        </w:tc>
        <w:tc>
          <w:tcPr>
            <w:tcW w:w="2257" w:type="dxa"/>
            <w:vAlign w:val="center"/>
          </w:tcPr>
          <w:p w:rsidR="00036F44" w:rsidRPr="00EA569A" w:rsidRDefault="004D4F97" w:rsidP="00A009EF">
            <w:pPr>
              <w:jc w:val="center"/>
              <w:rPr>
                <w:b/>
              </w:rPr>
            </w:pPr>
            <w:r>
              <w:rPr>
                <w:b/>
              </w:rPr>
              <w:t>10</w:t>
            </w:r>
            <w:r w:rsidR="00BE1145">
              <w:rPr>
                <w:b/>
              </w:rPr>
              <w:t xml:space="preserve"> BE</w:t>
            </w:r>
          </w:p>
        </w:tc>
        <w:tc>
          <w:tcPr>
            <w:tcW w:w="2257" w:type="dxa"/>
            <w:vAlign w:val="center"/>
          </w:tcPr>
          <w:p w:rsidR="00036F44" w:rsidRPr="00EA569A" w:rsidRDefault="00036F44" w:rsidP="006965CC">
            <w:pPr>
              <w:jc w:val="center"/>
              <w:rPr>
                <w:b/>
              </w:rPr>
            </w:pPr>
          </w:p>
        </w:tc>
      </w:tr>
      <w:tr w:rsidR="00EA569A" w:rsidRPr="00EA569A" w:rsidTr="002047F1">
        <w:tc>
          <w:tcPr>
            <w:tcW w:w="1310" w:type="dxa"/>
            <w:vAlign w:val="center"/>
          </w:tcPr>
          <w:p w:rsidR="00EA569A" w:rsidRPr="00EA569A" w:rsidRDefault="00EA569A" w:rsidP="006965CC">
            <w:pPr>
              <w:jc w:val="center"/>
              <w:rPr>
                <w:b/>
              </w:rPr>
            </w:pPr>
          </w:p>
        </w:tc>
        <w:tc>
          <w:tcPr>
            <w:tcW w:w="2257" w:type="dxa"/>
            <w:vAlign w:val="center"/>
          </w:tcPr>
          <w:p w:rsidR="00EA569A" w:rsidRPr="00EA569A" w:rsidRDefault="004D4F97" w:rsidP="006965CC">
            <w:pPr>
              <w:jc w:val="center"/>
              <w:rPr>
                <w:b/>
              </w:rPr>
            </w:pPr>
            <w:r>
              <w:rPr>
                <w:b/>
              </w:rPr>
              <w:t>12</w:t>
            </w:r>
            <w:r w:rsidR="00BE1145">
              <w:rPr>
                <w:b/>
              </w:rPr>
              <w:t xml:space="preserve"> BE</w:t>
            </w:r>
          </w:p>
        </w:tc>
        <w:tc>
          <w:tcPr>
            <w:tcW w:w="2257" w:type="dxa"/>
            <w:vAlign w:val="center"/>
          </w:tcPr>
          <w:p w:rsidR="00EA569A" w:rsidRPr="00EA569A" w:rsidRDefault="00EA569A" w:rsidP="006965CC">
            <w:pPr>
              <w:jc w:val="center"/>
              <w:rPr>
                <w:b/>
              </w:rPr>
            </w:pPr>
          </w:p>
        </w:tc>
      </w:tr>
      <w:tr w:rsidR="00EA569A" w:rsidRPr="00EA569A" w:rsidTr="002047F1">
        <w:tc>
          <w:tcPr>
            <w:tcW w:w="1310" w:type="dxa"/>
            <w:vAlign w:val="center"/>
          </w:tcPr>
          <w:p w:rsidR="00EA569A" w:rsidRPr="00EA569A" w:rsidRDefault="00EA569A" w:rsidP="006965CC">
            <w:pPr>
              <w:jc w:val="center"/>
              <w:rPr>
                <w:b/>
              </w:rPr>
            </w:pPr>
          </w:p>
        </w:tc>
        <w:tc>
          <w:tcPr>
            <w:tcW w:w="2257" w:type="dxa"/>
            <w:vAlign w:val="center"/>
          </w:tcPr>
          <w:p w:rsidR="00EA569A" w:rsidRPr="00EA569A" w:rsidRDefault="004D4F97" w:rsidP="006965CC">
            <w:pPr>
              <w:jc w:val="center"/>
              <w:rPr>
                <w:b/>
              </w:rPr>
            </w:pPr>
            <w:r>
              <w:rPr>
                <w:b/>
              </w:rPr>
              <w:t>6</w:t>
            </w:r>
            <w:r w:rsidR="00BE1145">
              <w:rPr>
                <w:b/>
              </w:rPr>
              <w:t xml:space="preserve"> BE</w:t>
            </w:r>
          </w:p>
        </w:tc>
        <w:tc>
          <w:tcPr>
            <w:tcW w:w="2257" w:type="dxa"/>
            <w:vAlign w:val="center"/>
          </w:tcPr>
          <w:p w:rsidR="00EA569A" w:rsidRPr="00EA569A" w:rsidRDefault="00EA569A" w:rsidP="006965CC">
            <w:pPr>
              <w:jc w:val="center"/>
              <w:rPr>
                <w:b/>
              </w:rPr>
            </w:pPr>
          </w:p>
        </w:tc>
      </w:tr>
      <w:tr w:rsidR="00EA569A" w:rsidRPr="00EA569A" w:rsidTr="002047F1">
        <w:tc>
          <w:tcPr>
            <w:tcW w:w="1310" w:type="dxa"/>
            <w:vAlign w:val="center"/>
          </w:tcPr>
          <w:p w:rsidR="00EA569A" w:rsidRPr="00EA569A" w:rsidRDefault="00EA569A" w:rsidP="006965CC">
            <w:pPr>
              <w:jc w:val="center"/>
              <w:rPr>
                <w:b/>
              </w:rPr>
            </w:pPr>
          </w:p>
        </w:tc>
        <w:tc>
          <w:tcPr>
            <w:tcW w:w="2257" w:type="dxa"/>
            <w:vAlign w:val="center"/>
          </w:tcPr>
          <w:p w:rsidR="00EA569A" w:rsidRPr="00EA569A" w:rsidRDefault="004D4F97" w:rsidP="006965CC">
            <w:pPr>
              <w:jc w:val="center"/>
              <w:rPr>
                <w:b/>
              </w:rPr>
            </w:pPr>
            <w:r>
              <w:rPr>
                <w:b/>
              </w:rPr>
              <w:t>8</w:t>
            </w:r>
            <w:r w:rsidR="00BE1145">
              <w:rPr>
                <w:b/>
              </w:rPr>
              <w:t xml:space="preserve"> BE</w:t>
            </w:r>
          </w:p>
        </w:tc>
        <w:tc>
          <w:tcPr>
            <w:tcW w:w="2257" w:type="dxa"/>
            <w:vAlign w:val="center"/>
          </w:tcPr>
          <w:p w:rsidR="00EA569A" w:rsidRPr="00EA569A" w:rsidRDefault="00EA569A" w:rsidP="006965CC">
            <w:pPr>
              <w:jc w:val="center"/>
              <w:rPr>
                <w:b/>
              </w:rPr>
            </w:pPr>
          </w:p>
        </w:tc>
      </w:tr>
      <w:tr w:rsidR="00EA569A" w:rsidRPr="00EA569A" w:rsidTr="002047F1">
        <w:tc>
          <w:tcPr>
            <w:tcW w:w="1310" w:type="dxa"/>
            <w:vAlign w:val="center"/>
          </w:tcPr>
          <w:p w:rsidR="00EA569A" w:rsidRPr="00EA569A" w:rsidRDefault="00EA569A" w:rsidP="006965CC">
            <w:pPr>
              <w:jc w:val="center"/>
              <w:rPr>
                <w:b/>
              </w:rPr>
            </w:pPr>
          </w:p>
        </w:tc>
        <w:tc>
          <w:tcPr>
            <w:tcW w:w="2257" w:type="dxa"/>
            <w:vAlign w:val="center"/>
          </w:tcPr>
          <w:p w:rsidR="00EA569A" w:rsidRPr="00EA569A" w:rsidRDefault="004D4F97" w:rsidP="006965CC">
            <w:pPr>
              <w:jc w:val="center"/>
              <w:rPr>
                <w:b/>
              </w:rPr>
            </w:pPr>
            <w:r>
              <w:rPr>
                <w:b/>
              </w:rPr>
              <w:t>4</w:t>
            </w:r>
            <w:r w:rsidR="00BE1145">
              <w:rPr>
                <w:b/>
              </w:rPr>
              <w:t xml:space="preserve"> BE</w:t>
            </w:r>
          </w:p>
        </w:tc>
        <w:tc>
          <w:tcPr>
            <w:tcW w:w="2257" w:type="dxa"/>
            <w:vAlign w:val="center"/>
          </w:tcPr>
          <w:p w:rsidR="00EA569A" w:rsidRPr="00EA569A" w:rsidRDefault="00EA569A" w:rsidP="006965CC">
            <w:pPr>
              <w:jc w:val="center"/>
              <w:rPr>
                <w:b/>
              </w:rPr>
            </w:pPr>
          </w:p>
        </w:tc>
      </w:tr>
    </w:tbl>
    <w:p w:rsidR="00036F44" w:rsidRPr="00EA569A" w:rsidRDefault="00036F44" w:rsidP="00036F44"/>
    <w:sectPr w:rsidR="00036F44" w:rsidRPr="00EA569A">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4EC" w:rsidRDefault="00EF04EC" w:rsidP="00EF04EC">
      <w:pPr>
        <w:spacing w:after="0" w:line="240" w:lineRule="auto"/>
      </w:pPr>
      <w:r>
        <w:separator/>
      </w:r>
    </w:p>
  </w:endnote>
  <w:endnote w:type="continuationSeparator" w:id="0">
    <w:p w:rsidR="00EF04EC" w:rsidRDefault="00EF04EC" w:rsidP="00EF0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6782403"/>
      <w:docPartObj>
        <w:docPartGallery w:val="Page Numbers (Bottom of Page)"/>
        <w:docPartUnique/>
      </w:docPartObj>
    </w:sdtPr>
    <w:sdtEndPr/>
    <w:sdtContent>
      <w:p w:rsidR="00EF04EC" w:rsidRDefault="00EF04EC">
        <w:pPr>
          <w:pStyle w:val="Fuzeile"/>
          <w:jc w:val="right"/>
        </w:pPr>
        <w:r>
          <w:t xml:space="preserve">Abitur </w:t>
        </w:r>
        <w:r w:rsidR="00DE21F3">
          <w:t>20</w:t>
        </w:r>
        <w:r w:rsidR="00DE21F3" w:rsidRPr="00DE21F3">
          <w:t xml:space="preserve">24 </w:t>
        </w:r>
        <w:r w:rsidRPr="00DE21F3">
          <w:t xml:space="preserve">- </w:t>
        </w:r>
        <w:proofErr w:type="spellStart"/>
        <w:r w:rsidR="00DE21F3" w:rsidRPr="00DE21F3">
          <w:t>eA</w:t>
        </w:r>
        <w:proofErr w:type="spellEnd"/>
        <w:r w:rsidR="00DE21F3" w:rsidRPr="00DE21F3">
          <w:t xml:space="preserve"> 1</w:t>
        </w:r>
        <w:r w:rsidR="00E50818">
          <w:t xml:space="preserve"> - mit Experiment</w:t>
        </w:r>
        <w:sdt>
          <w:sdtPr>
            <w:id w:val="-1769616900"/>
            <w:docPartObj>
              <w:docPartGallery w:val="Page Numbers (Top of Page)"/>
              <w:docPartUnique/>
            </w:docPartObj>
          </w:sdtPr>
          <w:sdtEndPr/>
          <w:sdtContent>
            <w:r w:rsidRPr="00DE21F3">
              <w:t xml:space="preserve"> - Seite</w:t>
            </w:r>
            <w:r>
              <w:t xml:space="preserve"> </w:t>
            </w:r>
            <w:r>
              <w:rPr>
                <w:b/>
                <w:bCs/>
                <w:szCs w:val="24"/>
              </w:rPr>
              <w:fldChar w:fldCharType="begin"/>
            </w:r>
            <w:r>
              <w:rPr>
                <w:b/>
                <w:bCs/>
              </w:rPr>
              <w:instrText>PAGE</w:instrText>
            </w:r>
            <w:r>
              <w:rPr>
                <w:b/>
                <w:bCs/>
                <w:szCs w:val="24"/>
              </w:rPr>
              <w:fldChar w:fldCharType="separate"/>
            </w:r>
            <w:r w:rsidR="001E23F1">
              <w:rPr>
                <w:b/>
                <w:bCs/>
                <w:noProof/>
              </w:rPr>
              <w:t>6</w:t>
            </w:r>
            <w:r>
              <w:rPr>
                <w:b/>
                <w:bCs/>
                <w:szCs w:val="24"/>
              </w:rPr>
              <w:fldChar w:fldCharType="end"/>
            </w:r>
            <w:r>
              <w:t xml:space="preserve"> von </w:t>
            </w:r>
            <w:r>
              <w:rPr>
                <w:b/>
                <w:bCs/>
                <w:szCs w:val="24"/>
              </w:rPr>
              <w:fldChar w:fldCharType="begin"/>
            </w:r>
            <w:r>
              <w:rPr>
                <w:b/>
                <w:bCs/>
              </w:rPr>
              <w:instrText>NUMPAGES</w:instrText>
            </w:r>
            <w:r>
              <w:rPr>
                <w:b/>
                <w:bCs/>
                <w:szCs w:val="24"/>
              </w:rPr>
              <w:fldChar w:fldCharType="separate"/>
            </w:r>
            <w:r w:rsidR="001E23F1">
              <w:rPr>
                <w:b/>
                <w:bCs/>
                <w:noProof/>
              </w:rPr>
              <w:t>6</w:t>
            </w:r>
            <w:r>
              <w:rPr>
                <w:b/>
                <w:bCs/>
                <w:szCs w:val="24"/>
              </w:rPr>
              <w:fldChar w:fldCharType="end"/>
            </w:r>
          </w:sdtContent>
        </w:sdt>
      </w:p>
    </w:sdtContent>
  </w:sdt>
  <w:p w:rsidR="00EF04EC" w:rsidRDefault="00EF04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4EC" w:rsidRDefault="00EF04EC" w:rsidP="00EF04EC">
      <w:pPr>
        <w:spacing w:after="0" w:line="240" w:lineRule="auto"/>
      </w:pPr>
      <w:r>
        <w:separator/>
      </w:r>
    </w:p>
  </w:footnote>
  <w:footnote w:type="continuationSeparator" w:id="0">
    <w:p w:rsidR="00EF04EC" w:rsidRDefault="00EF04EC" w:rsidP="00EF04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3A9"/>
    <w:rsid w:val="00036F44"/>
    <w:rsid w:val="00076079"/>
    <w:rsid w:val="000A2C7B"/>
    <w:rsid w:val="000B4F61"/>
    <w:rsid w:val="000D5141"/>
    <w:rsid w:val="00141C7E"/>
    <w:rsid w:val="001E23F1"/>
    <w:rsid w:val="002047F1"/>
    <w:rsid w:val="00245D65"/>
    <w:rsid w:val="002554BB"/>
    <w:rsid w:val="00257089"/>
    <w:rsid w:val="00296825"/>
    <w:rsid w:val="002B4D23"/>
    <w:rsid w:val="00326E8E"/>
    <w:rsid w:val="00327594"/>
    <w:rsid w:val="003457CE"/>
    <w:rsid w:val="003602C0"/>
    <w:rsid w:val="0037754A"/>
    <w:rsid w:val="003B450E"/>
    <w:rsid w:val="003D1AF5"/>
    <w:rsid w:val="00446147"/>
    <w:rsid w:val="0045542C"/>
    <w:rsid w:val="004A4F7A"/>
    <w:rsid w:val="004B3DC5"/>
    <w:rsid w:val="004B595C"/>
    <w:rsid w:val="004D4F97"/>
    <w:rsid w:val="004E5F50"/>
    <w:rsid w:val="00521461"/>
    <w:rsid w:val="0054025B"/>
    <w:rsid w:val="00597DB8"/>
    <w:rsid w:val="005A387F"/>
    <w:rsid w:val="005F3C17"/>
    <w:rsid w:val="00651993"/>
    <w:rsid w:val="006719A0"/>
    <w:rsid w:val="006765DC"/>
    <w:rsid w:val="006965CC"/>
    <w:rsid w:val="006C2C59"/>
    <w:rsid w:val="006E612F"/>
    <w:rsid w:val="007033D9"/>
    <w:rsid w:val="00737665"/>
    <w:rsid w:val="007728D1"/>
    <w:rsid w:val="007A6985"/>
    <w:rsid w:val="007E35D9"/>
    <w:rsid w:val="007F64DE"/>
    <w:rsid w:val="008F32B4"/>
    <w:rsid w:val="008F63FB"/>
    <w:rsid w:val="009176D4"/>
    <w:rsid w:val="00923BA3"/>
    <w:rsid w:val="00933281"/>
    <w:rsid w:val="00960C76"/>
    <w:rsid w:val="00967F8F"/>
    <w:rsid w:val="00986934"/>
    <w:rsid w:val="009E5CE2"/>
    <w:rsid w:val="009E6FA1"/>
    <w:rsid w:val="009F7DF3"/>
    <w:rsid w:val="00A009EF"/>
    <w:rsid w:val="00A0791F"/>
    <w:rsid w:val="00A27C77"/>
    <w:rsid w:val="00A27E56"/>
    <w:rsid w:val="00A57D50"/>
    <w:rsid w:val="00A6160E"/>
    <w:rsid w:val="00A9209F"/>
    <w:rsid w:val="00A95E85"/>
    <w:rsid w:val="00AA4956"/>
    <w:rsid w:val="00B17B36"/>
    <w:rsid w:val="00B42250"/>
    <w:rsid w:val="00B42B92"/>
    <w:rsid w:val="00B455C7"/>
    <w:rsid w:val="00B52000"/>
    <w:rsid w:val="00B83D80"/>
    <w:rsid w:val="00BA0894"/>
    <w:rsid w:val="00BA6333"/>
    <w:rsid w:val="00BE1145"/>
    <w:rsid w:val="00BF5D39"/>
    <w:rsid w:val="00C07F2F"/>
    <w:rsid w:val="00C11AFC"/>
    <w:rsid w:val="00C370A1"/>
    <w:rsid w:val="00C45562"/>
    <w:rsid w:val="00C47A10"/>
    <w:rsid w:val="00C503A9"/>
    <w:rsid w:val="00C67846"/>
    <w:rsid w:val="00CD7591"/>
    <w:rsid w:val="00CE5CC5"/>
    <w:rsid w:val="00CE6518"/>
    <w:rsid w:val="00D34880"/>
    <w:rsid w:val="00D36975"/>
    <w:rsid w:val="00D710BF"/>
    <w:rsid w:val="00D80943"/>
    <w:rsid w:val="00DB6B68"/>
    <w:rsid w:val="00DC4471"/>
    <w:rsid w:val="00DE21F3"/>
    <w:rsid w:val="00E01334"/>
    <w:rsid w:val="00E453A9"/>
    <w:rsid w:val="00E50818"/>
    <w:rsid w:val="00E67B7D"/>
    <w:rsid w:val="00EA569A"/>
    <w:rsid w:val="00EF04EC"/>
    <w:rsid w:val="00F14E51"/>
    <w:rsid w:val="00F4644B"/>
    <w:rsid w:val="00F478E1"/>
    <w:rsid w:val="00F82851"/>
    <w:rsid w:val="00FD5FE0"/>
    <w:rsid w:val="00FE7E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743E8240-1221-4CAC-BDE9-968A8562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10BF"/>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D710BF"/>
    <w:pPr>
      <w:keepNext/>
      <w:pBdr>
        <w:top w:val="single" w:sz="18" w:space="10" w:color="C00000"/>
        <w:left w:val="single" w:sz="18" w:space="10" w:color="C00000"/>
        <w:bottom w:val="single" w:sz="18" w:space="0" w:color="C00000"/>
        <w:right w:val="single" w:sz="18" w:space="0" w:color="C00000"/>
      </w:pBdr>
      <w:tabs>
        <w:tab w:val="left" w:pos="680"/>
      </w:tabs>
      <w:spacing w:before="480" w:after="240"/>
      <w:ind w:left="680" w:hanging="680"/>
      <w:outlineLvl w:val="0"/>
    </w:pPr>
    <w:rPr>
      <w:rFonts w:eastAsia="Calibri" w:cs="Arial"/>
      <w:b/>
      <w:bCs/>
      <w:kern w:val="32"/>
      <w:sz w:val="32"/>
      <w:szCs w:val="32"/>
    </w:rPr>
  </w:style>
  <w:style w:type="paragraph" w:styleId="berschrift2">
    <w:name w:val="heading 2"/>
    <w:basedOn w:val="Standard"/>
    <w:next w:val="Standard"/>
    <w:link w:val="berschrift2Zchn"/>
    <w:uiPriority w:val="9"/>
    <w:unhideWhenUsed/>
    <w:qFormat/>
    <w:rsid w:val="00D710BF"/>
    <w:pPr>
      <w:keepNext/>
      <w:pBdr>
        <w:bottom w:val="single" w:sz="18" w:space="4" w:color="auto"/>
      </w:pBdr>
      <w:tabs>
        <w:tab w:val="left" w:pos="851"/>
      </w:tabs>
      <w:spacing w:before="360"/>
      <w:ind w:left="567" w:hanging="567"/>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BF5D39"/>
    <w:pPr>
      <w:keepNext/>
      <w:tabs>
        <w:tab w:val="left" w:pos="1134"/>
      </w:tabs>
      <w:spacing w:before="240" w:after="100"/>
      <w:ind w:left="1134" w:hanging="1134"/>
      <w:outlineLvl w:val="2"/>
    </w:pPr>
    <w:rPr>
      <w:rFonts w:eastAsia="Calibri" w:cs="Arial"/>
      <w:b/>
      <w:bCs/>
      <w:sz w:val="26"/>
      <w:szCs w:val="26"/>
    </w:rPr>
  </w:style>
  <w:style w:type="paragraph" w:styleId="berschrift4">
    <w:name w:val="heading 4"/>
    <w:basedOn w:val="Standard"/>
    <w:next w:val="Standard"/>
    <w:link w:val="berschrift4Zchn"/>
    <w:uiPriority w:val="9"/>
    <w:unhideWhenUsed/>
    <w:qFormat/>
    <w:rsid w:val="00A009E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710BF"/>
    <w:rPr>
      <w:rFonts w:ascii="Arial" w:eastAsia="Calibri" w:hAnsi="Arial" w:cs="Arial"/>
      <w:b/>
      <w:bCs/>
      <w:kern w:val="32"/>
      <w:sz w:val="32"/>
      <w:szCs w:val="32"/>
    </w:rPr>
  </w:style>
  <w:style w:type="character" w:customStyle="1" w:styleId="berschrift2Zchn">
    <w:name w:val="Überschrift 2 Zchn"/>
    <w:basedOn w:val="Absatz-Standardschriftart"/>
    <w:link w:val="berschrift2"/>
    <w:uiPriority w:val="9"/>
    <w:rsid w:val="00D710BF"/>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BF5D39"/>
    <w:rPr>
      <w:rFonts w:ascii="Arial" w:eastAsia="Calibri" w:hAnsi="Arial" w:cs="Arial"/>
      <w:b/>
      <w:bCs/>
      <w:sz w:val="26"/>
      <w:szCs w:val="26"/>
    </w:rPr>
  </w:style>
  <w:style w:type="character" w:customStyle="1" w:styleId="berschrift4Zchn">
    <w:name w:val="Überschrift 4 Zchn"/>
    <w:basedOn w:val="Absatz-Standardschriftart"/>
    <w:link w:val="berschrift4"/>
    <w:uiPriority w:val="9"/>
    <w:rsid w:val="00A009EF"/>
    <w:rPr>
      <w:rFonts w:ascii="Arial" w:eastAsia="Calibri" w:hAnsi="Arial" w:cs="Arial"/>
      <w:b/>
      <w:bCs/>
      <w:sz w:val="36"/>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455C7"/>
    <w:pPr>
      <w:ind w:left="567" w:hanging="567"/>
    </w:pPr>
    <w:rPr>
      <w:rFonts w:eastAsia="Calibri" w:cs="Arial"/>
      <w:szCs w:val="22"/>
    </w:rPr>
  </w:style>
  <w:style w:type="paragraph" w:styleId="Listenfortsetzung">
    <w:name w:val="List Continue"/>
    <w:basedOn w:val="Standard"/>
    <w:uiPriority w:val="99"/>
    <w:unhideWhenUsed/>
    <w:qFormat/>
    <w:rsid w:val="00B455C7"/>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9F7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F04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04EC"/>
    <w:rPr>
      <w:rFonts w:ascii="Arial" w:hAnsi="Arial"/>
      <w:sz w:val="36"/>
    </w:rPr>
  </w:style>
  <w:style w:type="paragraph" w:styleId="Fuzeile">
    <w:name w:val="footer"/>
    <w:basedOn w:val="Standard"/>
    <w:link w:val="FuzeileZchn"/>
    <w:uiPriority w:val="99"/>
    <w:unhideWhenUsed/>
    <w:rsid w:val="00EF04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04EC"/>
    <w:rPr>
      <w:rFonts w:ascii="Arial" w:hAnsi="Arial"/>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E2785-0EF9-4DCC-8232-A7103AF73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586</Words>
  <Characters>3696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14</cp:revision>
  <dcterms:created xsi:type="dcterms:W3CDTF">2024-03-07T08:59:00Z</dcterms:created>
  <dcterms:modified xsi:type="dcterms:W3CDTF">2024-08-09T12:09:00Z</dcterms:modified>
</cp:coreProperties>
</file>